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AA8" w:rsidRDefault="00025AA8">
      <w:pPr>
        <w:widowControl w:val="0"/>
        <w:autoSpaceDE w:val="0"/>
        <w:autoSpaceDN w:val="0"/>
        <w:adjustRightInd w:val="0"/>
        <w:ind w:firstLine="540"/>
        <w:outlineLvl w:val="0"/>
      </w:pPr>
      <w:r>
        <w:t>Статья 132. Предприятие</w:t>
      </w:r>
    </w:p>
    <w:p w:rsidR="00025AA8" w:rsidRDefault="00025AA8">
      <w:pPr>
        <w:widowControl w:val="0"/>
        <w:autoSpaceDE w:val="0"/>
        <w:autoSpaceDN w:val="0"/>
        <w:adjustRightInd w:val="0"/>
        <w:ind w:firstLine="540"/>
      </w:pPr>
    </w:p>
    <w:p w:rsidR="00025AA8" w:rsidRDefault="00025AA8">
      <w:pPr>
        <w:widowControl w:val="0"/>
        <w:autoSpaceDE w:val="0"/>
        <w:autoSpaceDN w:val="0"/>
        <w:adjustRightInd w:val="0"/>
        <w:ind w:firstLine="540"/>
      </w:pPr>
      <w:r>
        <w:t xml:space="preserve">Комментарий к </w:t>
      </w:r>
      <w:hyperlink r:id="rId4" w:history="1">
        <w:r>
          <w:rPr>
            <w:color w:val="0000FF"/>
          </w:rPr>
          <w:t>статье 132</w:t>
        </w:r>
      </w:hyperlink>
    </w:p>
    <w:p w:rsidR="00025AA8" w:rsidRDefault="00025AA8">
      <w:pPr>
        <w:widowControl w:val="0"/>
        <w:autoSpaceDE w:val="0"/>
        <w:autoSpaceDN w:val="0"/>
        <w:adjustRightInd w:val="0"/>
        <w:ind w:firstLine="540"/>
      </w:pPr>
    </w:p>
    <w:p w:rsidR="00025AA8" w:rsidRDefault="00025AA8">
      <w:pPr>
        <w:widowControl w:val="0"/>
        <w:autoSpaceDE w:val="0"/>
        <w:autoSpaceDN w:val="0"/>
        <w:adjustRightInd w:val="0"/>
        <w:ind w:firstLine="540"/>
      </w:pPr>
      <w:r>
        <w:t>1. Действующий ГК использует понятие "предприятие" в двух значениях: во-первых, для обозначения субъектов гражданского права - государственных и муниципальных, а также казенных предприятий (</w:t>
      </w:r>
      <w:hyperlink r:id="rId5" w:history="1">
        <w:r>
          <w:rPr>
            <w:color w:val="0000FF"/>
          </w:rPr>
          <w:t>ст. 113</w:t>
        </w:r>
      </w:hyperlink>
      <w:r>
        <w:t xml:space="preserve"> - </w:t>
      </w:r>
      <w:hyperlink r:id="rId6" w:history="1">
        <w:r>
          <w:rPr>
            <w:color w:val="0000FF"/>
          </w:rPr>
          <w:t>115</w:t>
        </w:r>
      </w:hyperlink>
      <w:r>
        <w:t xml:space="preserve"> ГК); во-вторых, для обозначения определенного объекта гражданских прав - предприятия как имущественного комплекса, используемого для осуществления предпринимательской деятельности (комментируемая </w:t>
      </w:r>
      <w:hyperlink r:id="rId7" w:history="1">
        <w:r>
          <w:rPr>
            <w:color w:val="0000FF"/>
          </w:rPr>
          <w:t>статья</w:t>
        </w:r>
      </w:hyperlink>
      <w:r>
        <w:t xml:space="preserve"> и </w:t>
      </w:r>
      <w:hyperlink r:id="rId8" w:history="1">
        <w:r>
          <w:rPr>
            <w:color w:val="0000FF"/>
          </w:rPr>
          <w:t>ст. 1538</w:t>
        </w:r>
      </w:hyperlink>
      <w:r>
        <w:t xml:space="preserve"> - </w:t>
      </w:r>
      <w:hyperlink r:id="rId9" w:history="1">
        <w:r>
          <w:rPr>
            <w:color w:val="0000FF"/>
          </w:rPr>
          <w:t>1541</w:t>
        </w:r>
      </w:hyperlink>
      <w:r>
        <w:t xml:space="preserve"> ГК). Такой подход сложно признать удовлетворительным - он создает проблему подмены понятий, однако, учитывая ограничения, накладываемые спецификой настоящей работы, этот вопрос не будет здесь предметом рассмотрения. В рамках комментария к настоящей статье предприятие будет рассматриваться в качестве имущественного комплекса.</w:t>
      </w:r>
    </w:p>
    <w:p w:rsidR="00025AA8" w:rsidRDefault="00025AA8">
      <w:pPr>
        <w:widowControl w:val="0"/>
        <w:autoSpaceDE w:val="0"/>
        <w:autoSpaceDN w:val="0"/>
        <w:adjustRightInd w:val="0"/>
        <w:ind w:firstLine="540"/>
      </w:pPr>
      <w:r>
        <w:t xml:space="preserve">2. Разбирая комментируемую </w:t>
      </w:r>
      <w:hyperlink r:id="rId10" w:history="1">
        <w:r>
          <w:rPr>
            <w:color w:val="0000FF"/>
          </w:rPr>
          <w:t>статью</w:t>
        </w:r>
      </w:hyperlink>
      <w:r>
        <w:t>, прежде всего следует отметить, что ее включение в ГК было обусловлено необходимостью создать правовое регулирование для ситуаций перехода (передачи) не совокупности вещей, а бизнеса ("дела"). Использование в ГК для обозначения бизнеса ("дела") понятия "предприятие" может быть объяснено исключительно нежеланием использовать "англицизм".</w:t>
      </w:r>
    </w:p>
    <w:p w:rsidR="00025AA8" w:rsidRDefault="00025AA8">
      <w:pPr>
        <w:widowControl w:val="0"/>
        <w:autoSpaceDE w:val="0"/>
        <w:autoSpaceDN w:val="0"/>
        <w:adjustRightInd w:val="0"/>
        <w:ind w:firstLine="540"/>
      </w:pPr>
      <w:r>
        <w:t>Передача бизнеса предполагает переход к новому владельцу не только вещей, которые используются в процессе осуществления предпринимательской деятельности, но и всего того имущества, которое предназначено для этого бизнеса и способствует его нормальному (успешному) осуществлению. К такому имуществу могут быть помимо прочего отнесены, например, исключительное право на коммерческое обозначение этого торгового, промышленного или иного предприятия (бизнеса), а также "наработанные" деловая репутация, деловые связи и сложившаяся клиентура, нередко составляющие даже большую ценность, нежели движимые и недвижимые вещи. Передача именно единого имущественного комплекса, а не только вещей (или их совокупности) и создает условия для дальнейшего осуществления новым владельцем бизнеса, который был начат прежним владельцем.</w:t>
      </w:r>
    </w:p>
    <w:p w:rsidR="00025AA8" w:rsidRDefault="00025AA8">
      <w:pPr>
        <w:widowControl w:val="0"/>
        <w:autoSpaceDE w:val="0"/>
        <w:autoSpaceDN w:val="0"/>
        <w:adjustRightInd w:val="0"/>
        <w:ind w:firstLine="540"/>
      </w:pPr>
      <w:hyperlink r:id="rId11" w:history="1">
        <w:r>
          <w:rPr>
            <w:color w:val="0000FF"/>
          </w:rPr>
          <w:t>Абзац 1 п. 1 комментируемой статьи</w:t>
        </w:r>
      </w:hyperlink>
      <w:r>
        <w:t xml:space="preserve"> только указывает на то, что предприятие (бизнес) представляет собой имущественный комплекс, который используется для осуществления предпринимательской деятельности. Содержание этого комплекса раскрыто в </w:t>
      </w:r>
      <w:hyperlink r:id="rId12" w:history="1">
        <w:proofErr w:type="spellStart"/>
        <w:r>
          <w:rPr>
            <w:color w:val="0000FF"/>
          </w:rPr>
          <w:t>абз</w:t>
        </w:r>
        <w:proofErr w:type="spellEnd"/>
        <w:r>
          <w:rPr>
            <w:color w:val="0000FF"/>
          </w:rPr>
          <w:t>. 2 п. 2 комментируемой статьи</w:t>
        </w:r>
      </w:hyperlink>
      <w:r>
        <w:t>, который допускает включение в него:</w:t>
      </w:r>
    </w:p>
    <w:p w:rsidR="00025AA8" w:rsidRDefault="00025AA8">
      <w:pPr>
        <w:widowControl w:val="0"/>
        <w:autoSpaceDE w:val="0"/>
        <w:autoSpaceDN w:val="0"/>
        <w:adjustRightInd w:val="0"/>
        <w:ind w:firstLine="540"/>
      </w:pPr>
      <w:r>
        <w:t>- объектов недвижимости (земельных участков, зданий, сооружений и пр.);</w:t>
      </w:r>
    </w:p>
    <w:p w:rsidR="00025AA8" w:rsidRDefault="00025AA8">
      <w:pPr>
        <w:widowControl w:val="0"/>
        <w:autoSpaceDE w:val="0"/>
        <w:autoSpaceDN w:val="0"/>
        <w:adjustRightInd w:val="0"/>
        <w:ind w:firstLine="540"/>
      </w:pPr>
      <w:r>
        <w:t>- движимого имущества (оборудования, инвентаря, сырья, продукции и пр.);</w:t>
      </w:r>
    </w:p>
    <w:p w:rsidR="00025AA8" w:rsidRDefault="00025AA8">
      <w:pPr>
        <w:widowControl w:val="0"/>
        <w:autoSpaceDE w:val="0"/>
        <w:autoSpaceDN w:val="0"/>
        <w:adjustRightInd w:val="0"/>
        <w:ind w:firstLine="540"/>
      </w:pPr>
      <w:r>
        <w:t>- имущественных прав (исключительных прав на средства индивидуализации производимых товаров, выполняемых работ, оказываемых услуг (товарные знаки и знаки обслуживания), а также самого предприятия (коммерческое обозначение), прав требования и пр.);</w:t>
      </w:r>
    </w:p>
    <w:p w:rsidR="00025AA8" w:rsidRDefault="00025AA8">
      <w:pPr>
        <w:widowControl w:val="0"/>
        <w:autoSpaceDE w:val="0"/>
        <w:autoSpaceDN w:val="0"/>
        <w:adjustRightInd w:val="0"/>
        <w:ind w:firstLine="540"/>
      </w:pPr>
      <w:r>
        <w:t xml:space="preserve">- любого другого имущества, необходимого для осуществления соответствующей деятельности, это вытекает из содержащегося в данном </w:t>
      </w:r>
      <w:hyperlink r:id="rId13" w:history="1">
        <w:r>
          <w:rPr>
            <w:color w:val="0000FF"/>
          </w:rPr>
          <w:t>абзаце</w:t>
        </w:r>
      </w:hyperlink>
      <w:r>
        <w:t xml:space="preserve"> указания: "В состав предприятия как имущественного комплекса входят все виды имущества, предназначенные для его деятельности..." (это могут быть, например, деловая репутация и деловые связи (см. </w:t>
      </w:r>
      <w:hyperlink r:id="rId14" w:history="1">
        <w:r>
          <w:rPr>
            <w:color w:val="0000FF"/>
          </w:rPr>
          <w:t>комментарий к ст. 128</w:t>
        </w:r>
      </w:hyperlink>
      <w:r>
        <w:t xml:space="preserve"> ГК)).</w:t>
      </w:r>
    </w:p>
    <w:p w:rsidR="00025AA8" w:rsidRDefault="00025AA8">
      <w:pPr>
        <w:widowControl w:val="0"/>
        <w:autoSpaceDE w:val="0"/>
        <w:autoSpaceDN w:val="0"/>
        <w:adjustRightInd w:val="0"/>
        <w:ind w:firstLine="540"/>
      </w:pPr>
      <w:r>
        <w:t xml:space="preserve">Кроме перечисленного </w:t>
      </w:r>
      <w:hyperlink r:id="rId15" w:history="1">
        <w:proofErr w:type="spellStart"/>
        <w:r>
          <w:rPr>
            <w:color w:val="0000FF"/>
          </w:rPr>
          <w:t>абз</w:t>
        </w:r>
        <w:proofErr w:type="spellEnd"/>
        <w:r>
          <w:rPr>
            <w:color w:val="0000FF"/>
          </w:rPr>
          <w:t>. 2 п. 2 комментируемой статьи</w:t>
        </w:r>
      </w:hyperlink>
      <w:r>
        <w:t xml:space="preserve"> включает в рассматриваемый имущественный комплекс также и долги, которые являются имуществом со знаком "минус", отрицательно влияя на общую стоимость предприятия (бизнеса).</w:t>
      </w:r>
    </w:p>
    <w:p w:rsidR="00025AA8" w:rsidRDefault="00025AA8">
      <w:pPr>
        <w:widowControl w:val="0"/>
        <w:autoSpaceDE w:val="0"/>
        <w:autoSpaceDN w:val="0"/>
        <w:adjustRightInd w:val="0"/>
        <w:ind w:firstLine="540"/>
      </w:pPr>
      <w:r>
        <w:t xml:space="preserve">3. Иногда при комментировании разбираемой статьи утверждается, что при совершении сделок с предприятием предметом этих сделок являются все виды имущества, перечисленные в </w:t>
      </w:r>
      <w:hyperlink r:id="rId16" w:history="1">
        <w:proofErr w:type="spellStart"/>
        <w:r>
          <w:rPr>
            <w:color w:val="0000FF"/>
          </w:rPr>
          <w:t>абз</w:t>
        </w:r>
        <w:proofErr w:type="spellEnd"/>
        <w:r>
          <w:rPr>
            <w:color w:val="0000FF"/>
          </w:rPr>
          <w:t>. 2 п. 2 комментируемой статьи</w:t>
        </w:r>
      </w:hyperlink>
      <w:r>
        <w:t xml:space="preserve">. Это повлекло за собой формирование на практике позиции, согласно которой тот или иной имущественный комплекс может быть </w:t>
      </w:r>
      <w:r>
        <w:lastRenderedPageBreak/>
        <w:t>квалифицирован в качестве предприятия только в том случае, если в его составе обязательно присутствуют все прямо упоминаемые в законе элементы имущественного комплекса, составляющего предприятие.</w:t>
      </w:r>
    </w:p>
    <w:p w:rsidR="00025AA8" w:rsidRDefault="00025AA8">
      <w:pPr>
        <w:widowControl w:val="0"/>
        <w:autoSpaceDE w:val="0"/>
        <w:autoSpaceDN w:val="0"/>
        <w:adjustRightInd w:val="0"/>
        <w:ind w:firstLine="540"/>
      </w:pPr>
      <w:r>
        <w:t xml:space="preserve">В итоге в одних случаях суды делают вывод о том, что имущественный комплекс не может признаваться предприятием, поскольку в его составе отсутствует недвижимое имущество (см., например, </w:t>
      </w:r>
      <w:hyperlink r:id="rId17" w:history="1">
        <w:r>
          <w:rPr>
            <w:color w:val="0000FF"/>
          </w:rPr>
          <w:t>Постановление</w:t>
        </w:r>
      </w:hyperlink>
      <w:r>
        <w:t xml:space="preserve"> Восемнадцатого арбитражного апелляционного суда от 11 июня 2010 г. N 18АП-4584/2010 по делу N А07-22991/2009). В других случаях, напротив, суды не признают имущественным комплексом совокупность нескольких объектов недвижимости (см., например, </w:t>
      </w:r>
      <w:hyperlink r:id="rId18" w:history="1">
        <w:r>
          <w:rPr>
            <w:color w:val="0000FF"/>
          </w:rPr>
          <w:t>Постановление</w:t>
        </w:r>
      </w:hyperlink>
      <w:r>
        <w:t xml:space="preserve"> ФАС Поволжского округа от 11 - 18 августа 2005 г. N А12-1058/05-С50). Встречаются на практике ситуации, когда суды для признания предприятием имущественного комплекса требуют наличия в его составе всех видов имущества, упомянутых в </w:t>
      </w:r>
      <w:hyperlink r:id="rId19" w:history="1">
        <w:r>
          <w:rPr>
            <w:color w:val="0000FF"/>
          </w:rPr>
          <w:t>п. 2 комментируемой статьи</w:t>
        </w:r>
      </w:hyperlink>
      <w:r>
        <w:t xml:space="preserve"> (см., например, </w:t>
      </w:r>
      <w:hyperlink r:id="rId20" w:history="1">
        <w:r>
          <w:rPr>
            <w:color w:val="0000FF"/>
          </w:rPr>
          <w:t>Постановление</w:t>
        </w:r>
      </w:hyperlink>
      <w:r>
        <w:t xml:space="preserve"> Второго арбитражного апелляционного суда от 31 мая 2011 г. по делу N А28-12215/2010).</w:t>
      </w:r>
    </w:p>
    <w:p w:rsidR="00025AA8" w:rsidRDefault="00025AA8">
      <w:pPr>
        <w:widowControl w:val="0"/>
        <w:autoSpaceDE w:val="0"/>
        <w:autoSpaceDN w:val="0"/>
        <w:adjustRightInd w:val="0"/>
        <w:ind w:firstLine="540"/>
      </w:pPr>
      <w:r>
        <w:t xml:space="preserve">Между тем такой подход неверен: законодатель, дав примерный список имущества, которое может составить предприятие, указывает на возможность предусмотреть иное законом или договором. Другими словами, данная статья носит диспозитивный характер, при том что, как указывалось выше, содержащийся в </w:t>
      </w:r>
      <w:hyperlink r:id="rId21" w:history="1">
        <w:r>
          <w:rPr>
            <w:color w:val="0000FF"/>
          </w:rPr>
          <w:t>п. 2 комментируемой статьи</w:t>
        </w:r>
      </w:hyperlink>
      <w:r>
        <w:t xml:space="preserve"> перечень не является закрытым.</w:t>
      </w:r>
    </w:p>
    <w:p w:rsidR="00025AA8" w:rsidRDefault="00025AA8">
      <w:pPr>
        <w:widowControl w:val="0"/>
        <w:autoSpaceDE w:val="0"/>
        <w:autoSpaceDN w:val="0"/>
        <w:adjustRightInd w:val="0"/>
        <w:ind w:firstLine="540"/>
      </w:pPr>
      <w:r>
        <w:t xml:space="preserve">Вследствие сказанного при рассмотрении вопроса о том, может ли тот или иной имущественный комплекс признаваться предприятием, нельзя буквально подходить к перечню имущества, содержащемуся в </w:t>
      </w:r>
      <w:hyperlink r:id="rId22" w:history="1">
        <w:proofErr w:type="spellStart"/>
        <w:r>
          <w:rPr>
            <w:color w:val="0000FF"/>
          </w:rPr>
          <w:t>абз</w:t>
        </w:r>
        <w:proofErr w:type="spellEnd"/>
        <w:r>
          <w:rPr>
            <w:color w:val="0000FF"/>
          </w:rPr>
          <w:t>. 2 п. 2 комментируемой статьи</w:t>
        </w:r>
      </w:hyperlink>
      <w:r>
        <w:t xml:space="preserve">. Решение данного вопроса требует от судов установления того, все ли передаваемое имущество относится к соответствующему бизнесу и будет ли передаваемый имущественный комплекс достаточным для использования его в качестве торгового, промышленного или иного предприятия, т.е. для осуществления торгового или иного бизнеса. И при положительном ответе на данный вопрос (даже при отсутствии в составе имущественного комплекса любой из разновидностей имущества, упомянутых в </w:t>
      </w:r>
      <w:hyperlink r:id="rId23" w:history="1">
        <w:proofErr w:type="spellStart"/>
        <w:r>
          <w:rPr>
            <w:color w:val="0000FF"/>
          </w:rPr>
          <w:t>абз</w:t>
        </w:r>
        <w:proofErr w:type="spellEnd"/>
        <w:r>
          <w:rPr>
            <w:color w:val="0000FF"/>
          </w:rPr>
          <w:t>. 2 п. 2 комментируемой статьи</w:t>
        </w:r>
      </w:hyperlink>
      <w:r>
        <w:t>) можно делать вывод о том, что перечисленное имущество составляет единый имущественный комплекс, который является предприятием (бизнесом).</w:t>
      </w:r>
    </w:p>
    <w:p w:rsidR="00025AA8" w:rsidRDefault="00025AA8">
      <w:pPr>
        <w:widowControl w:val="0"/>
        <w:autoSpaceDE w:val="0"/>
        <w:autoSpaceDN w:val="0"/>
        <w:adjustRightInd w:val="0"/>
        <w:ind w:firstLine="540"/>
      </w:pPr>
      <w:r>
        <w:t>Например, такой распространенный нынче бизнес, как электронная торговля, не требует для своего осуществления наличия объектов недвижимости или движимых вещей, но необходимы имущественные права - на доменное имя, на контент, на результаты интеллектуальной деятельности и иные объекты (прежде всего на деловую репутацию, деловые связи и сложившуюся клиентуру). Следовательно, заключение сделки купли-продажи имущественного комплекса, включающего такие имущественные права и упомянутые объекты, будет сделкой по продаже бизнеса (предприятия).</w:t>
      </w:r>
    </w:p>
    <w:p w:rsidR="00025AA8" w:rsidRDefault="00025AA8">
      <w:pPr>
        <w:widowControl w:val="0"/>
        <w:autoSpaceDE w:val="0"/>
        <w:autoSpaceDN w:val="0"/>
        <w:adjustRightInd w:val="0"/>
        <w:ind w:firstLine="540"/>
      </w:pPr>
      <w:r>
        <w:t xml:space="preserve">4. Признавая, что по смыслу </w:t>
      </w:r>
      <w:hyperlink r:id="rId24" w:history="1">
        <w:proofErr w:type="spellStart"/>
        <w:r>
          <w:rPr>
            <w:color w:val="0000FF"/>
          </w:rPr>
          <w:t>абз</w:t>
        </w:r>
        <w:proofErr w:type="spellEnd"/>
        <w:r>
          <w:rPr>
            <w:color w:val="0000FF"/>
          </w:rPr>
          <w:t>. 2 п. 2 комментируемой статьи</w:t>
        </w:r>
      </w:hyperlink>
      <w:r>
        <w:t xml:space="preserve"> стороны могут своим договором определить состав предприятия (бизнеса), которое может стать предметом сделки (купли-продажи, аренды и пр.), нельзя не отметить следующее.</w:t>
      </w:r>
    </w:p>
    <w:p w:rsidR="00025AA8" w:rsidRDefault="00025AA8">
      <w:pPr>
        <w:widowControl w:val="0"/>
        <w:autoSpaceDE w:val="0"/>
        <w:autoSpaceDN w:val="0"/>
        <w:adjustRightInd w:val="0"/>
        <w:ind w:firstLine="540"/>
      </w:pPr>
      <w:r>
        <w:t>Допущение указанной возможности не предполагает, что стороны под видом продажи предприятия будут продавать некий "набор" вещей, имущественных прав или иного имущества, не связанных между собой единством использования для осуществления какой-либо предпринимательской деятельности. В такого рода случаях нет оснований говорить о продаже бизнеса (предприятия) - здесь имеет место обычная сделка купли-продажи совокупности имущества, специфика элементов которого требует различного учета и оформления прав на это имущество. Так, если по договору купли-продажи передаются объект недвижимости, подлежащее регистрации имущественное право (например, исключительное имущественное право на изобретение) и автомобиль, то каждая из указанных разновидностей имущества будет учитываться и регистрироваться в соответствии с предъявляемыми к нему требованиями, но не в качестве единого объекта - предприятия.</w:t>
      </w:r>
    </w:p>
    <w:p w:rsidR="00025AA8" w:rsidRDefault="00025AA8">
      <w:pPr>
        <w:widowControl w:val="0"/>
        <w:autoSpaceDE w:val="0"/>
        <w:autoSpaceDN w:val="0"/>
        <w:adjustRightInd w:val="0"/>
        <w:ind w:firstLine="540"/>
      </w:pPr>
      <w:r>
        <w:lastRenderedPageBreak/>
        <w:t xml:space="preserve">5. Следует обратить внимание на установленную законодателем возможность предприятия быть объектом купли-продажи, залога, аренды и других сделок в целом или части </w:t>
      </w:r>
      <w:hyperlink r:id="rId25" w:history="1">
        <w:r>
          <w:rPr>
            <w:color w:val="0000FF"/>
          </w:rPr>
          <w:t>(</w:t>
        </w:r>
        <w:proofErr w:type="spellStart"/>
        <w:r>
          <w:rPr>
            <w:color w:val="0000FF"/>
          </w:rPr>
          <w:t>абз</w:t>
        </w:r>
        <w:proofErr w:type="spellEnd"/>
        <w:r>
          <w:rPr>
            <w:color w:val="0000FF"/>
          </w:rPr>
          <w:t>. 1 п. 2 комментируемой статьи)</w:t>
        </w:r>
      </w:hyperlink>
      <w:r>
        <w:t>. Закрепляя данное правило, законодатель допускал возможность совершения сделки в отношении не всего бизнеса в целом, а в отношении его части (доли).</w:t>
      </w:r>
    </w:p>
    <w:p w:rsidR="00025AA8" w:rsidRDefault="00025AA8">
      <w:pPr>
        <w:widowControl w:val="0"/>
        <w:autoSpaceDE w:val="0"/>
        <w:autoSpaceDN w:val="0"/>
        <w:adjustRightInd w:val="0"/>
        <w:ind w:firstLine="540"/>
      </w:pPr>
      <w:r>
        <w:t xml:space="preserve">В процессе разработки законодательства о внесении изменений в ГК РФ предлагались различные редакции комментируемой </w:t>
      </w:r>
      <w:hyperlink r:id="rId26" w:history="1">
        <w:r>
          <w:rPr>
            <w:color w:val="0000FF"/>
          </w:rPr>
          <w:t>статьи</w:t>
        </w:r>
      </w:hyperlink>
      <w:r>
        <w:t>, в которых закреплялись новые положения (например, об обязательности нотариального удостоверения сделок, предметом которых является предприятие, а позднее - нотариального засвидетельствования только даты совершения такой сделки, об обязательной публикации сведений о таких сделках и пр.). В то же время положение, допускающее возможность для предприятия становиться предметом сделок в целом или части, в предлагаемые нормы не включалось.</w:t>
      </w:r>
    </w:p>
    <w:p w:rsidR="00025AA8" w:rsidRDefault="00025AA8">
      <w:pPr>
        <w:widowControl w:val="0"/>
        <w:autoSpaceDE w:val="0"/>
        <w:autoSpaceDN w:val="0"/>
        <w:adjustRightInd w:val="0"/>
        <w:ind w:firstLine="540"/>
      </w:pPr>
      <w:r>
        <w:t xml:space="preserve">В итоге же комментируемая </w:t>
      </w:r>
      <w:hyperlink r:id="rId27" w:history="1">
        <w:r>
          <w:rPr>
            <w:color w:val="0000FF"/>
          </w:rPr>
          <w:t>статья</w:t>
        </w:r>
      </w:hyperlink>
      <w:r>
        <w:t xml:space="preserve"> не претерпела изменений, в силу чего рассматриваемое положение сохранило свое значение.</w:t>
      </w:r>
    </w:p>
    <w:p w:rsidR="00025AA8" w:rsidRDefault="00025AA8">
      <w:pPr>
        <w:widowControl w:val="0"/>
        <w:autoSpaceDE w:val="0"/>
        <w:autoSpaceDN w:val="0"/>
        <w:adjustRightInd w:val="0"/>
        <w:ind w:firstLine="540"/>
      </w:pPr>
      <w:r>
        <w:t xml:space="preserve">6. Серьезные проблемы выявлены практикой при реализации </w:t>
      </w:r>
      <w:hyperlink r:id="rId28" w:history="1">
        <w:proofErr w:type="spellStart"/>
        <w:r>
          <w:rPr>
            <w:color w:val="0000FF"/>
          </w:rPr>
          <w:t>абз</w:t>
        </w:r>
        <w:proofErr w:type="spellEnd"/>
        <w:r>
          <w:rPr>
            <w:color w:val="0000FF"/>
          </w:rPr>
          <w:t>. 2 п. 1 комментируемой статьи</w:t>
        </w:r>
      </w:hyperlink>
      <w:r>
        <w:t>, согласно которому предприятие как имущественный комплекс признается недвижимым имуществом, что влечет распространение на него общего для всей недвижимости режима.</w:t>
      </w:r>
    </w:p>
    <w:p w:rsidR="00025AA8" w:rsidRDefault="00025AA8">
      <w:pPr>
        <w:widowControl w:val="0"/>
        <w:autoSpaceDE w:val="0"/>
        <w:autoSpaceDN w:val="0"/>
        <w:adjustRightInd w:val="0"/>
        <w:ind w:firstLine="540"/>
      </w:pPr>
      <w:r>
        <w:t xml:space="preserve">В </w:t>
      </w:r>
      <w:hyperlink r:id="rId29" w:history="1">
        <w:r>
          <w:rPr>
            <w:color w:val="0000FF"/>
          </w:rPr>
          <w:t>п. 3.4 разд. II</w:t>
        </w:r>
      </w:hyperlink>
      <w:r>
        <w:t xml:space="preserve"> Концепции развития гражданского законодательства отмечалось, что данное положение на практике фактически не работает. Это объяснялось следующим: "Входящие в состав предприятия здания, строения, сооружения регистрируются как отдельные объекты недвижимости, а регистрация предприятия в качестве недвижимости порождает трудноразрешимые вопросы, какое именно имущество входит в состав этой недвижимости". По этой причине, как подчеркивалось в Концепции, предприятие практически выбыло из оборота недвижимости.</w:t>
      </w:r>
    </w:p>
    <w:p w:rsidR="00025AA8" w:rsidRDefault="00025AA8">
      <w:pPr>
        <w:widowControl w:val="0"/>
        <w:autoSpaceDE w:val="0"/>
        <w:autoSpaceDN w:val="0"/>
        <w:adjustRightInd w:val="0"/>
        <w:ind w:firstLine="540"/>
      </w:pPr>
      <w:r>
        <w:t>Неработоспособность данного положения объясняется и тем, что регистрация единого имущественного комплекса в качестве предприятия (бизнеса), не отменяющая обязательности регистрации входящих в этот имущественный комплекс объектов недвижимости и иного имущества, требующего учета и регистрации, влечет для нового владельца бизнеса двойные траты. По сути, он должен дублировать регистрацию одного и того же имущества (в качестве самостоятельных объектов и как единого имущественного комплекса), что накладывает на него дополнительные денежные и временные расходы.</w:t>
      </w:r>
    </w:p>
    <w:p w:rsidR="00025AA8" w:rsidRDefault="00025AA8">
      <w:pPr>
        <w:widowControl w:val="0"/>
        <w:autoSpaceDE w:val="0"/>
        <w:autoSpaceDN w:val="0"/>
        <w:adjustRightInd w:val="0"/>
        <w:ind w:firstLine="540"/>
      </w:pPr>
      <w:r>
        <w:t>Обнаруженная проблема могла быть решена путем введения специального реестра для предприятий (бизнеса), который бы исключал необходимость дублирующей регистрации всех входящих в состав имущественного комплекса объектов, либо, напротив, данные из такого реестра автоматически переносились в соответствующие реестры.</w:t>
      </w:r>
    </w:p>
    <w:p w:rsidR="00025AA8" w:rsidRDefault="00025AA8">
      <w:pPr>
        <w:widowControl w:val="0"/>
        <w:autoSpaceDE w:val="0"/>
        <w:autoSpaceDN w:val="0"/>
        <w:adjustRightInd w:val="0"/>
        <w:ind w:firstLine="540"/>
      </w:pPr>
      <w:r>
        <w:t xml:space="preserve">Между тем данную проблему было решено устранить путем исключения из </w:t>
      </w:r>
      <w:hyperlink r:id="rId30" w:history="1">
        <w:r>
          <w:rPr>
            <w:color w:val="0000FF"/>
          </w:rPr>
          <w:t>ст. 132</w:t>
        </w:r>
      </w:hyperlink>
      <w:r>
        <w:t xml:space="preserve"> ГК положения о признании предприятия недвижимой вещью. При этом предлагалось сохранить нормы "о возможности совершения сделок с предприятием как целым (что не исключает различного учета и оформления прав на входящие в состав предприятия вещи и имущество, права и обязанности)" (</w:t>
      </w:r>
      <w:hyperlink r:id="rId31" w:history="1">
        <w:r>
          <w:rPr>
            <w:color w:val="0000FF"/>
          </w:rPr>
          <w:t>п. 1.8</w:t>
        </w:r>
      </w:hyperlink>
      <w:r>
        <w:t xml:space="preserve">, </w:t>
      </w:r>
      <w:hyperlink r:id="rId32" w:history="1">
        <w:r>
          <w:rPr>
            <w:color w:val="0000FF"/>
          </w:rPr>
          <w:t>2.8 разд. III</w:t>
        </w:r>
      </w:hyperlink>
      <w:r>
        <w:t xml:space="preserve"> Концепции совершенствования общих положений ГК РФ). Кроме того, для решения известных практике проблем было разработано предложение о включении в ГК РФ нового, особого объекта гражданских прав - технологического имущественного комплекса недвижимости (</w:t>
      </w:r>
      <w:hyperlink r:id="rId33" w:history="1">
        <w:r>
          <w:rPr>
            <w:color w:val="0000FF"/>
          </w:rPr>
          <w:t>п. 3.4 разд. II</w:t>
        </w:r>
      </w:hyperlink>
      <w:r>
        <w:t xml:space="preserve"> Концепции развития гражданского законодательства; см. </w:t>
      </w:r>
      <w:hyperlink r:id="rId34" w:history="1">
        <w:r>
          <w:rPr>
            <w:color w:val="0000FF"/>
          </w:rPr>
          <w:t>комментарий к ст. 133.1</w:t>
        </w:r>
      </w:hyperlink>
      <w:r>
        <w:t xml:space="preserve"> ГК).</w:t>
      </w:r>
    </w:p>
    <w:p w:rsidR="00025AA8" w:rsidRDefault="00025AA8">
      <w:pPr>
        <w:widowControl w:val="0"/>
        <w:autoSpaceDE w:val="0"/>
        <w:autoSpaceDN w:val="0"/>
        <w:adjustRightInd w:val="0"/>
        <w:ind w:firstLine="540"/>
      </w:pPr>
      <w:r>
        <w:t xml:space="preserve">С сожалением надо констатировать, что норма, признающая предприятие (бизнес) недвижимостью, сохранена (как указывалось выше, комментируемая </w:t>
      </w:r>
      <w:hyperlink r:id="rId35" w:history="1">
        <w:r>
          <w:rPr>
            <w:color w:val="0000FF"/>
          </w:rPr>
          <w:t>статья</w:t>
        </w:r>
      </w:hyperlink>
      <w:r>
        <w:t xml:space="preserve"> вообще не претерпела изменений), вследствие чего и конструкция предприятия как единого имущественного комплекса, по всей видимости, так и останется неэффективной и невостребованной практикой.</w:t>
      </w:r>
    </w:p>
    <w:p w:rsidR="00025AA8" w:rsidRDefault="00025AA8">
      <w:pPr>
        <w:widowControl w:val="0"/>
        <w:autoSpaceDE w:val="0"/>
        <w:autoSpaceDN w:val="0"/>
        <w:adjustRightInd w:val="0"/>
      </w:pPr>
      <w:hyperlink r:id="rId36" w:history="1">
        <w:r>
          <w:rPr>
            <w:i/>
            <w:iCs/>
            <w:color w:val="0000FF"/>
          </w:rPr>
          <w:br/>
          <w:t xml:space="preserve">ст. 132, "Гражданский кодекс Российской Федерации. Постатейный комментарий к </w:t>
        </w:r>
        <w:r>
          <w:rPr>
            <w:i/>
            <w:iCs/>
            <w:color w:val="0000FF"/>
          </w:rPr>
          <w:lastRenderedPageBreak/>
          <w:t>главам 6 - 12" (под ред. Л.В. Санниковой) ("Статут", 2014) {</w:t>
        </w:r>
        <w:proofErr w:type="spellStart"/>
        <w:r>
          <w:rPr>
            <w:i/>
            <w:iCs/>
            <w:color w:val="0000FF"/>
          </w:rPr>
          <w:t>КонсультантПлюс</w:t>
        </w:r>
        <w:proofErr w:type="spellEnd"/>
        <w:r>
          <w:rPr>
            <w:i/>
            <w:iCs/>
            <w:color w:val="0000FF"/>
          </w:rPr>
          <w:t>}</w:t>
        </w:r>
        <w:r>
          <w:rPr>
            <w:i/>
            <w:iCs/>
            <w:color w:val="0000FF"/>
          </w:rPr>
          <w:br/>
        </w:r>
      </w:hyperlink>
    </w:p>
    <w:p w:rsidR="007C2859" w:rsidRDefault="007C2859">
      <w:bookmarkStart w:id="0" w:name="_GoBack"/>
      <w:bookmarkEnd w:id="0"/>
    </w:p>
    <w:sectPr w:rsidR="007C2859" w:rsidSect="005F2F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AA8"/>
    <w:rsid w:val="00025AA8"/>
    <w:rsid w:val="007C2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3A49CE-CF2A-4E98-B00B-74CBE86BD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652FBC148CB5DEA116E8360F6F07ED163116A82A5FC12B458AFB28AF4605F45D8F4E40Db4N9J" TargetMode="External"/><Relationship Id="rId18" Type="http://schemas.openxmlformats.org/officeDocument/2006/relationships/hyperlink" Target="consultantplus://offline/ref=A652FBC148CB5DEA116E8E71F7F07ED16012688EA5F14FBE50F6BE88bFN3J" TargetMode="External"/><Relationship Id="rId26" Type="http://schemas.openxmlformats.org/officeDocument/2006/relationships/hyperlink" Target="consultantplus://offline/ref=A652FBC148CB5DEA116E8360F6F07ED163116A82A5FC12B458AFB28AF4605F45D8F4E40B4F4F75F8bBNFJ" TargetMode="External"/><Relationship Id="rId21" Type="http://schemas.openxmlformats.org/officeDocument/2006/relationships/hyperlink" Target="consultantplus://offline/ref=A652FBC148CB5DEA116E8360F6F07ED163116A82A5FC12B458AFB28AF4605F45D8F4E40B4F4F75F8bBN0J" TargetMode="External"/><Relationship Id="rId34" Type="http://schemas.openxmlformats.org/officeDocument/2006/relationships/hyperlink" Target="consultantplus://offline/ref=A652FBC148CB5DEA116E8C6CE3F07ED163136F8FA0F14FBE50F6BE88F36F0052DFBDE80A4F4C7FbFNFJ" TargetMode="External"/><Relationship Id="rId7" Type="http://schemas.openxmlformats.org/officeDocument/2006/relationships/hyperlink" Target="consultantplus://offline/ref=A652FBC148CB5DEA116E8360F6F07ED163116A82A5FC12B458AFB28AF4605F45D8F4E40B4F4F75F8bBNFJ" TargetMode="External"/><Relationship Id="rId12" Type="http://schemas.openxmlformats.org/officeDocument/2006/relationships/hyperlink" Target="consultantplus://offline/ref=A652FBC148CB5DEA116E8360F6F07ED163116A82A5FC12B458AFB28AF4605F45D8F4E40Db4N9J" TargetMode="External"/><Relationship Id="rId17" Type="http://schemas.openxmlformats.org/officeDocument/2006/relationships/hyperlink" Target="consultantplus://offline/ref=A652FBC148CB5DEA116E9D60F19820DD6A1F3786A8F818E30FADE3DFFA6557b1N5J" TargetMode="External"/><Relationship Id="rId25" Type="http://schemas.openxmlformats.org/officeDocument/2006/relationships/hyperlink" Target="consultantplus://offline/ref=A652FBC148CB5DEA116E8360F6F07ED163116A82A5FC12B458AFB28AF4605F45D8F4E40B4F4F75F8bBN0J" TargetMode="External"/><Relationship Id="rId33" Type="http://schemas.openxmlformats.org/officeDocument/2006/relationships/hyperlink" Target="consultantplus://offline/ref=A652FBC148CB5DEA116E8360F6F07ED16B11698CA5F14FBE50F6BE88F36F0052DFBDE80A4F4F78bFNFJ" TargetMode="Externa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652FBC148CB5DEA116E8360F6F07ED163116A82A5FC12B458AFB28AF4605F45D8F4E40Db4N9J" TargetMode="External"/><Relationship Id="rId20" Type="http://schemas.openxmlformats.org/officeDocument/2006/relationships/hyperlink" Target="consultantplus://offline/ref=A652FBC148CB5DEA116E9D60F19820DC601F3786A1FC1CE503F0E9D7A3695512b9NFJ" TargetMode="External"/><Relationship Id="rId29" Type="http://schemas.openxmlformats.org/officeDocument/2006/relationships/hyperlink" Target="consultantplus://offline/ref=A652FBC148CB5DEA116E8360F6F07ED16B11698CA5F14FBE50F6BE88F36F0052DFBDE80A4F4F78bFNF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652FBC148CB5DEA116E8360F6F07ED163116A82A5FC12B458AFB28AF4605F45D8F4E40B4F4D7CFEbBNBJ" TargetMode="External"/><Relationship Id="rId11" Type="http://schemas.openxmlformats.org/officeDocument/2006/relationships/hyperlink" Target="consultantplus://offline/ref=A652FBC148CB5DEA116E8360F6F07ED163116A82A5FC12B458AFB28AF4605F45D8F4E40B4F4F75F8bBNEJ" TargetMode="External"/><Relationship Id="rId24" Type="http://schemas.openxmlformats.org/officeDocument/2006/relationships/hyperlink" Target="consultantplus://offline/ref=A652FBC148CB5DEA116E8360F6F07ED163116A82A5FC12B458AFB28AF4605F45D8F4E40Db4N9J" TargetMode="External"/><Relationship Id="rId32" Type="http://schemas.openxmlformats.org/officeDocument/2006/relationships/hyperlink" Target="consultantplus://offline/ref=A652FBC148CB5DEA116E8C6BE8F07ED1611C6A8BA4F14FBE50F6BE88F36F0052DFBDE80A4F4D7FbFN1J" TargetMode="External"/><Relationship Id="rId37" Type="http://schemas.openxmlformats.org/officeDocument/2006/relationships/fontTable" Target="fontTable.xml"/><Relationship Id="rId5" Type="http://schemas.openxmlformats.org/officeDocument/2006/relationships/hyperlink" Target="consultantplus://offline/ref=A652FBC148CB5DEA116E8360F6F07ED163116A82A5FC12B458AFB28AF4605F45D8F4E40B4F4F7BF0bBNEJ" TargetMode="External"/><Relationship Id="rId15" Type="http://schemas.openxmlformats.org/officeDocument/2006/relationships/hyperlink" Target="consultantplus://offline/ref=A652FBC148CB5DEA116E8360F6F07ED163116A82A5FC12B458AFB28AF4605F45D8F4E40Db4N9J" TargetMode="External"/><Relationship Id="rId23" Type="http://schemas.openxmlformats.org/officeDocument/2006/relationships/hyperlink" Target="consultantplus://offline/ref=A652FBC148CB5DEA116E8360F6F07ED163116A82A5FC12B458AFB28AF4605F45D8F4E40Db4N9J" TargetMode="External"/><Relationship Id="rId28" Type="http://schemas.openxmlformats.org/officeDocument/2006/relationships/hyperlink" Target="consultantplus://offline/ref=A652FBC148CB5DEA116E8360F6F07ED163116A82A5FC12B458AFB28AF4605F45D8F4E40B4F4F75F8bBN1J" TargetMode="External"/><Relationship Id="rId36" Type="http://schemas.openxmlformats.org/officeDocument/2006/relationships/hyperlink" Target="consultantplus://offline/ref=A652FBC148CB5DEA116E8C6CE3F07ED163136F8FA0F14FBE50F6BE88F36F0052DFBDE80A4F4D7AbFNEJ" TargetMode="External"/><Relationship Id="rId10" Type="http://schemas.openxmlformats.org/officeDocument/2006/relationships/hyperlink" Target="consultantplus://offline/ref=A652FBC148CB5DEA116E8360F6F07ED163116A82A5FC12B458AFB28AF4605F45D8F4E40B4F4F75F8bBNFJ" TargetMode="External"/><Relationship Id="rId19" Type="http://schemas.openxmlformats.org/officeDocument/2006/relationships/hyperlink" Target="consultantplus://offline/ref=A652FBC148CB5DEA116E8360F6F07ED163116A82A5FC12B458AFB28AF4605F45D8F4E40B4F4F75F8bBN0J" TargetMode="External"/><Relationship Id="rId31" Type="http://schemas.openxmlformats.org/officeDocument/2006/relationships/hyperlink" Target="consultantplus://offline/ref=A652FBC148CB5DEA116E8C6BE8F07ED1611C6A8BA4F14FBE50F6BE88F36F0052DFBDE80A4F4E74bFN0J" TargetMode="External"/><Relationship Id="rId4" Type="http://schemas.openxmlformats.org/officeDocument/2006/relationships/hyperlink" Target="consultantplus://offline/ref=A652FBC148CB5DEA116E8360F6F07ED163116A82A5FC12B458AFB28AF4605F45D8F4E40B4F4F75F8bBNFJ" TargetMode="External"/><Relationship Id="rId9" Type="http://schemas.openxmlformats.org/officeDocument/2006/relationships/hyperlink" Target="consultantplus://offline/ref=A652FBC148CB5DEA116E8360F6F07ED16310618DA8FF12B458AFB28AF4605F45D8F4E40B4F4E75FEbBN9J" TargetMode="External"/><Relationship Id="rId14" Type="http://schemas.openxmlformats.org/officeDocument/2006/relationships/hyperlink" Target="consultantplus://offline/ref=A652FBC148CB5DEA116E8C6CE3F07ED163136F8FA0F14FBE50F6BE88F36F0052DFBDE80A4F4F74bFN1J" TargetMode="External"/><Relationship Id="rId22" Type="http://schemas.openxmlformats.org/officeDocument/2006/relationships/hyperlink" Target="consultantplus://offline/ref=A652FBC148CB5DEA116E8360F6F07ED163116A82A5FC12B458AFB28AF4605F45D8F4E40Db4N9J" TargetMode="External"/><Relationship Id="rId27" Type="http://schemas.openxmlformats.org/officeDocument/2006/relationships/hyperlink" Target="consultantplus://offline/ref=A652FBC148CB5DEA116E8360F6F07ED163116A82A5FC12B458AFB28AF4605F45D8F4E40B4F4F75F8bBNFJ" TargetMode="External"/><Relationship Id="rId30" Type="http://schemas.openxmlformats.org/officeDocument/2006/relationships/hyperlink" Target="consultantplus://offline/ref=A652FBC148CB5DEA116E8360F6F07ED163116A82A5FC12B458AFB28AF4605F45D8F4E40B4F4F75F8bBNFJ" TargetMode="External"/><Relationship Id="rId35" Type="http://schemas.openxmlformats.org/officeDocument/2006/relationships/hyperlink" Target="consultantplus://offline/ref=A652FBC148CB5DEA116E8360F6F07ED163116A82A5FC12B458AFB28AF4605F45D8F4E40B4F4F75F8bBNFJ" TargetMode="External"/><Relationship Id="rId8" Type="http://schemas.openxmlformats.org/officeDocument/2006/relationships/hyperlink" Target="consultantplus://offline/ref=A652FBC148CB5DEA116E8360F6F07ED16310618DA8FF12B458AFB28AF4605F45D8F4E40B4F4E75FCbBNEJ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2315</Words>
  <Characters>13200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2015-03-27T09:13:00Z</dcterms:created>
  <dcterms:modified xsi:type="dcterms:W3CDTF">2015-03-27T09:13:00Z</dcterms:modified>
</cp:coreProperties>
</file>